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版本号：2026-0129320260408001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渭河大荔陈村3#坝垛和2#~3#坝裆应急抢护工程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2026-01293</w:t>
      </w:r>
      <w:r>
        <w:br/>
      </w:r>
      <w:r>
        <w:br/>
      </w:r>
      <w:r>
        <w:br/>
      </w:r>
    </w:p>
    <w:p>
      <w:pPr>
        <w:pStyle w:val="null3"/>
        <w:jc w:val="center"/>
        <w:outlineLvl w:val="2"/>
      </w:pPr>
      <w:r>
        <w:rPr>
          <w:rFonts w:ascii="仿宋_GB2312" w:hAnsi="仿宋_GB2312" w:cs="仿宋_GB2312" w:eastAsia="仿宋_GB2312"/>
          <w:sz w:val="28"/>
          <w:b/>
        </w:rPr>
        <w:t>陕西省三门峡库区管理局机关</w:t>
      </w:r>
    </w:p>
    <w:p>
      <w:pPr>
        <w:pStyle w:val="null3"/>
        <w:jc w:val="center"/>
        <w:outlineLvl w:val="2"/>
      </w:pPr>
      <w:r>
        <w:rPr>
          <w:rFonts w:ascii="仿宋_GB2312" w:hAnsi="仿宋_GB2312" w:cs="仿宋_GB2312" w:eastAsia="仿宋_GB2312"/>
          <w:sz w:val="28"/>
          <w:b/>
        </w:rPr>
        <w:t>华睿诚项目管理有限公司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华睿诚项目管理有限公司</w:t>
      </w:r>
      <w:r>
        <w:rPr>
          <w:rFonts w:ascii="仿宋_GB2312" w:hAnsi="仿宋_GB2312" w:cs="仿宋_GB2312" w:eastAsia="仿宋_GB2312"/>
        </w:rPr>
        <w:t>（以下简称“代理机构”）受</w:t>
      </w:r>
      <w:r>
        <w:rPr>
          <w:rFonts w:ascii="仿宋_GB2312" w:hAnsi="仿宋_GB2312" w:cs="仿宋_GB2312" w:eastAsia="仿宋_GB2312"/>
        </w:rPr>
        <w:t>陕西省三门峡库区管理局机关</w:t>
      </w:r>
      <w:r>
        <w:rPr>
          <w:rFonts w:ascii="仿宋_GB2312" w:hAnsi="仿宋_GB2312" w:cs="仿宋_GB2312" w:eastAsia="仿宋_GB2312"/>
        </w:rPr>
        <w:t>委托，拟对</w:t>
      </w:r>
      <w:r>
        <w:rPr>
          <w:rFonts w:ascii="仿宋_GB2312" w:hAnsi="仿宋_GB2312" w:cs="仿宋_GB2312" w:eastAsia="仿宋_GB2312"/>
        </w:rPr>
        <w:t>渭河大荔陈村3#坝垛和2#~3#坝裆应急抢护工程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2026-01293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渭河大荔陈村3#坝垛和2#~3#坝裆应急抢护工程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渭河陈村工程位于大荔县境内苏村乡陈村以南的渭河左岸，控制河段总长度2170m，现有坝垛28座。2025年10月渭河下游1号洪水致使大荔陈村2#～3#坝垛坝裆根石走失、坦石坍塌，本次对3#坝垛和2#～3#坝裆进行抢护。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采购包1（渭河大荔陈村3#坝垛和2#~3#坝裆应急抢护工程）：属于专门面向中小企业采购。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1、企业资质：供应商须具备水利水电工程施工总承包三级及以上资质。</w:t>
      </w:r>
    </w:p>
    <w:p>
      <w:pPr>
        <w:pStyle w:val="null3"/>
      </w:pPr>
      <w:r>
        <w:rPr>
          <w:rFonts w:ascii="仿宋_GB2312" w:hAnsi="仿宋_GB2312" w:cs="仿宋_GB2312" w:eastAsia="仿宋_GB2312"/>
        </w:rPr>
        <w:t>2、营业执照：具有独立承担民事责任能力的法人、其他组织或自然人，并出具合法有效的营业执照或事业单位法人证书等国家规定的相关证明，自然人参与的提供其身份证明。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3、安全生产许可证：供应商具备有效的安全生产许可证。</w:t>
      </w:r>
    </w:p>
    <w:p>
      <w:pPr>
        <w:pStyle w:val="null3"/>
      </w:pPr>
      <w:r>
        <w:rPr>
          <w:rFonts w:ascii="仿宋_GB2312" w:hAnsi="仿宋_GB2312" w:cs="仿宋_GB2312" w:eastAsia="仿宋_GB2312"/>
        </w:rPr>
        <w:t>4、拟派项目负责人：拟派项目负责人具有水利水电工程专业二级及以上注册建造师资格及有效的安全生产考核合格证书（B证），且无其他在建项目（提供无在建工程的承诺函）。</w:t>
      </w:r>
    </w:p>
    <w:p>
      <w:pPr>
        <w:pStyle w:val="null3"/>
      </w:pPr>
      <w:r>
        <w:rPr>
          <w:rFonts w:ascii="仿宋_GB2312" w:hAnsi="仿宋_GB2312" w:cs="仿宋_GB2312" w:eastAsia="仿宋_GB2312"/>
        </w:rPr>
        <w:t>5、供应商及项目负责人情况：供应商及项目负责人须在“陕西省水利建设市场主体信用信息管理平台”可查询且无不良记录。</w:t>
      </w:r>
    </w:p>
    <w:p>
      <w:pPr>
        <w:pStyle w:val="null3"/>
      </w:pPr>
      <w:r>
        <w:rPr>
          <w:rFonts w:ascii="仿宋_GB2312" w:hAnsi="仿宋_GB2312" w:cs="仿宋_GB2312" w:eastAsia="仿宋_GB2312"/>
        </w:rPr>
        <w:t>6、法人证明或法人授权委托书：提供法定代表人授权委托书（附法定代表人、被授权人身份证复印件）；法定代表人直接参加磋商，须提供法定代表人证明书（附法定代表人身份证复印件）。</w:t>
      </w:r>
    </w:p>
    <w:p>
      <w:pPr>
        <w:pStyle w:val="null3"/>
      </w:pPr>
      <w:r>
        <w:rPr>
          <w:rFonts w:ascii="仿宋_GB2312" w:hAnsi="仿宋_GB2312" w:cs="仿宋_GB2312" w:eastAsia="仿宋_GB2312"/>
        </w:rPr>
        <w:t>7、信用中国网、中国执行公开网和中国政府采购网查询情况：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p>
      <w:pPr>
        <w:pStyle w:val="null3"/>
      </w:pPr>
      <w:r>
        <w:rPr>
          <w:rFonts w:ascii="仿宋_GB2312" w:hAnsi="仿宋_GB2312" w:cs="仿宋_GB2312" w:eastAsia="仿宋_GB2312"/>
        </w:rPr>
        <w:t>8、专门面向中小企业采购：本项目专门面向中小企业采购，监狱企业和残疾人福利单位视同小微企业。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陕西省三门峡库区管理局机关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经开区凤城二路13号凯发大厦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陕西省三门峡库区管理中心经办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029-83665211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华睿诚项目管理有限公司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陕西省西安市雁塔区曲江新区雁翔路3269号旺座曲江E座29层2901号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18292801320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代理服务费收费标准：参照国家计委关于《国家发展改革委办公厅关于招标代理服务收费有关问题的通知》（发改价格[2003]857 号）、《国家发展改革委关于进一步放开建设项目专业服务价格的通知》收取。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陕西省三门峡库区管理局机关</w:t>
      </w:r>
      <w:r>
        <w:rPr>
          <w:rFonts w:ascii="仿宋_GB2312" w:hAnsi="仿宋_GB2312" w:cs="仿宋_GB2312" w:eastAsia="仿宋_GB2312"/>
        </w:rPr>
        <w:t>和</w:t>
      </w:r>
      <w:r>
        <w:rPr>
          <w:rFonts w:ascii="仿宋_GB2312" w:hAnsi="仿宋_GB2312" w:cs="仿宋_GB2312" w:eastAsia="仿宋_GB2312"/>
        </w:rPr>
        <w:t>华睿诚项目管理有限公司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陕西省三门峡库区管理局机关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华睿诚项目管理有限公司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陕西省三门峡库区管理局机关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华睿诚项目管理有限公司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华睿诚项目管理有限公司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联系人：刘艳</w:t>
      </w:r>
    </w:p>
    <w:p>
      <w:pPr>
        <w:pStyle w:val="null3"/>
      </w:pPr>
      <w:r>
        <w:rPr>
          <w:rFonts w:ascii="仿宋_GB2312" w:hAnsi="仿宋_GB2312" w:cs="仿宋_GB2312" w:eastAsia="仿宋_GB2312"/>
        </w:rPr>
        <w:t>联系电话：18292801320</w:t>
      </w:r>
    </w:p>
    <w:p>
      <w:pPr>
        <w:pStyle w:val="null3"/>
      </w:pPr>
      <w:r>
        <w:rPr>
          <w:rFonts w:ascii="仿宋_GB2312" w:hAnsi="仿宋_GB2312" w:cs="仿宋_GB2312" w:eastAsia="仿宋_GB2312"/>
        </w:rPr>
        <w:t>地址：陕西省西安市雁塔区曲江新区雁翔路 3269 号旺座曲江 E 座 29 层 2901 号</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1,780,000.00</w:t>
      </w:r>
    </w:p>
    <w:p>
      <w:pPr>
        <w:pStyle w:val="null3"/>
      </w:pPr>
      <w:r>
        <w:rPr>
          <w:rFonts w:ascii="仿宋_GB2312" w:hAnsi="仿宋_GB2312" w:cs="仿宋_GB2312" w:eastAsia="仿宋_GB2312"/>
        </w:rPr>
        <w:t>采购包最高限价（元）: 1,779,368.94</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渭河大荔陈村3号坝垛和2号3号坝裆应急抢护工程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1,780,000.00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标的名称：渭河大荔陈村3号坝垛和2号3号坝裆应急抢护工程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9"/>
                <w:color w:val="000000"/>
              </w:rPr>
              <w:t>完成渭河大荔陈村</w:t>
            </w:r>
            <w:r>
              <w:rPr>
                <w:rFonts w:ascii="仿宋_GB2312" w:hAnsi="仿宋_GB2312" w:cs="仿宋_GB2312" w:eastAsia="仿宋_GB2312"/>
                <w:sz w:val="19"/>
                <w:color w:val="000000"/>
              </w:rPr>
              <w:t>3#坝垛和2#~3#坝裆应急抢护工程建设，具体详见竞争性磋商文件和工程量清单。</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详见本项目工程量清单。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经审计的财务会计报告(成立时间至提交响应文件截止时间不足一年的可提供成立后任意时段的资产负债表)，或其响应文件截止时间前六个月内银行出具的资信证明或信用担保机构出具的投标担保函。(以上三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供应商须具备水利水电工程施工总承包三级及以上资质。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供应商具备有效的安全生产许可证。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拟派项目负责人具有水利水电工程专业二级及以上注册建造师资格及有效的安全生产考核合格证书（B证），且无其他在建项目（提供无在建工程的承诺函）。</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供应商及项目负责人情况</w:t>
            </w:r>
          </w:p>
        </w:tc>
        <w:tc>
          <w:tcPr>
            <w:tcW w:type="dxa" w:w="3322"/>
          </w:tcPr>
          <w:p>
            <w:pPr>
              <w:pStyle w:val="null3"/>
            </w:pPr>
            <w:r>
              <w:rPr>
                <w:rFonts w:ascii="仿宋_GB2312" w:hAnsi="仿宋_GB2312" w:cs="仿宋_GB2312" w:eastAsia="仿宋_GB2312"/>
              </w:rPr>
              <w:t>供应商及项目负责人须在“陕西省水利建设市场主体信用信息管理平台”可查询且无不良记录。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法人证明或法人授权委托书</w:t>
            </w:r>
          </w:p>
        </w:tc>
        <w:tc>
          <w:tcPr>
            <w:tcW w:type="dxa" w:w="3322"/>
          </w:tcPr>
          <w:p>
            <w:pPr>
              <w:pStyle w:val="null3"/>
            </w:pPr>
            <w:r>
              <w:rPr>
                <w:rFonts w:ascii="仿宋_GB2312" w:hAnsi="仿宋_GB2312" w:cs="仿宋_GB2312" w:eastAsia="仿宋_GB2312"/>
              </w:rPr>
              <w:t>提供法定代表人授权委托书（附法定代表人、被授权人身份证复印件）；法定代表人直接参加磋商，须提供法定代表人证明书（附法定代表人身份证复印件）。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信用中国网、中国执行公开网和中国政府采购网查询情况</w:t>
            </w:r>
          </w:p>
        </w:tc>
        <w:tc>
          <w:tcPr>
            <w:tcW w:type="dxa" w:w="3322"/>
          </w:tcPr>
          <w:p>
            <w:pPr>
              <w:pStyle w:val="null3"/>
            </w:pPr>
            <w:r>
              <w:rPr>
                <w:rFonts w:ascii="仿宋_GB2312" w:hAnsi="仿宋_GB2312" w:cs="仿宋_GB2312" w:eastAsia="仿宋_GB2312"/>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本项目专门面向中小企业采购，监狱企业和残疾人福利单位视同小微企业。</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响应文件没有重大缺项</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技术方案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响应文件的签署、加盖印章合格、有效；投标有效期与授权期限满足招标文件规定</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技术方案 供应商应提交的相关资格证明材料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响应报价未超过采购限价</w:t>
            </w:r>
          </w:p>
        </w:tc>
        <w:tc>
          <w:tcPr>
            <w:tcW w:type="dxa" w:w="3322"/>
          </w:tcPr>
          <w:p>
            <w:pPr>
              <w:pStyle w:val="null3"/>
            </w:pPr>
            <w:r>
              <w:rPr>
                <w:rFonts w:ascii="仿宋_GB2312" w:hAnsi="仿宋_GB2312" w:cs="仿宋_GB2312" w:eastAsia="仿宋_GB2312"/>
              </w:rPr>
              <w:t>响应报价未超过采购限价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施工组织设计内容完整性和编制水平</w:t>
            </w:r>
          </w:p>
        </w:tc>
        <w:tc>
          <w:tcPr>
            <w:tcW w:type="dxa" w:w="2492"/>
          </w:tcPr>
          <w:p>
            <w:pPr>
              <w:pStyle w:val="null3"/>
            </w:pPr>
            <w:r>
              <w:rPr>
                <w:rFonts w:ascii="仿宋_GB2312" w:hAnsi="仿宋_GB2312" w:cs="仿宋_GB2312" w:eastAsia="仿宋_GB2312"/>
              </w:rPr>
              <w:t>根据供应商施工组织设计内容完整性和编制水平，包括但不限于：①逻辑性与系统性；②规范性与标准化；③针对性与创新性；④可操作性与指导性。 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供应商针对本项目提供完整的质量管理体系与措施，包括但不限于：①质量控制目标分析；②质量保证措施。 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供应商针对本项目提供完整的安全管理体系与措施，包括但不限于：①安全生产、文明施工、环保施工、防尘降噪等保证措施；②应急保证措施。 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优化方案及技术措施</w:t>
            </w:r>
          </w:p>
        </w:tc>
        <w:tc>
          <w:tcPr>
            <w:tcW w:type="dxa" w:w="2492"/>
          </w:tcPr>
          <w:p>
            <w:pPr>
              <w:pStyle w:val="null3"/>
            </w:pPr>
            <w:r>
              <w:rPr>
                <w:rFonts w:ascii="仿宋_GB2312" w:hAnsi="仿宋_GB2312" w:cs="仿宋_GB2312" w:eastAsia="仿宋_GB2312"/>
              </w:rPr>
              <w:t>供应商针对本项目重难点提供优化方案及技术措施，包括但不限于：①关键节点、复杂环节理解分析；②针对关键节点、复杂环节的优化方案和具体措施。 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项目部人员构成</w:t>
            </w:r>
          </w:p>
        </w:tc>
        <w:tc>
          <w:tcPr>
            <w:tcW w:type="dxa" w:w="2492"/>
          </w:tcPr>
          <w:p>
            <w:pPr>
              <w:pStyle w:val="null3"/>
            </w:pPr>
            <w:r>
              <w:rPr>
                <w:rFonts w:ascii="仿宋_GB2312" w:hAnsi="仿宋_GB2312" w:cs="仿宋_GB2312" w:eastAsia="仿宋_GB2312"/>
              </w:rPr>
              <w:t>拟派项目部其它管理人员，除拟派项目负责人以外，至少应包括：项目技术负责人1人、施工员1人、资料员1人、材料员1人、安全员1人、质量员1人。 满足以上全部要求的得6分，任意一项不满足要求的得0分。 评审依据：拟派人员须为投标人本单位人员，提供以上人员开标前半年内任意一个月社保（或劳动合同）、身份证和相应专业岗位证书，其中安全员必须提供安全员C证，评审时以供应商提供加盖公章的证书复印件为准，未提供以上资料的相应人员不予认定和赋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供应商提供自2021年1月1日至本项目响应文件递交截止时间前完成的同类业绩证明材料，提供1个得2分，最多得8分。未提供的不得分。 评审依据：提供施工合同的复印件，时间以合同签订时间为准。 注：同类业绩证明材料意指水利工程类相关业绩。</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供应商针对本项目提供完整的施工方案与技术措施，包括但不限于：①施工方案；②施工技术措施。 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工期计划及保障措施方案</w:t>
            </w:r>
          </w:p>
        </w:tc>
        <w:tc>
          <w:tcPr>
            <w:tcW w:type="dxa" w:w="2492"/>
          </w:tcPr>
          <w:p>
            <w:pPr>
              <w:pStyle w:val="null3"/>
            </w:pPr>
            <w:r>
              <w:rPr>
                <w:rFonts w:ascii="仿宋_GB2312" w:hAnsi="仿宋_GB2312" w:cs="仿宋_GB2312" w:eastAsia="仿宋_GB2312"/>
              </w:rPr>
              <w:t>供应商针对本项目提供完整的工期计划及保障措施方案，包括但不限于：①实施计划及进度计划；②确保工程按期按质完成措施。 每有一项缺项扣4分，每有一项内容中有缺陷，扣2分。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供应商针对本项目提供完整的资源配备计划，包括但不限于：①机械设备计划；②主要材料计划；③劳动力配备计划；④资金配备计划。 每有一项缺项扣1分，每有一项内容中有缺陷，扣0.5分。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vMerge/>
          </w:tcPr>
          <w:p/>
        </w:tc>
        <w:tc>
          <w:tcPr>
            <w:tcW w:type="dxa" w:w="1661"/>
          </w:tcPr>
          <w:p>
            <w:pPr>
              <w:pStyle w:val="null3"/>
            </w:pPr>
            <w:r>
              <w:rPr>
                <w:rFonts w:ascii="仿宋_GB2312" w:hAnsi="仿宋_GB2312" w:cs="仿宋_GB2312" w:eastAsia="仿宋_GB2312"/>
              </w:rPr>
              <w:t>保修承诺</w:t>
            </w:r>
          </w:p>
        </w:tc>
        <w:tc>
          <w:tcPr>
            <w:tcW w:type="dxa" w:w="2492"/>
          </w:tcPr>
          <w:p>
            <w:pPr>
              <w:pStyle w:val="null3"/>
            </w:pPr>
            <w:r>
              <w:rPr>
                <w:rFonts w:ascii="仿宋_GB2312" w:hAnsi="仿宋_GB2312" w:cs="仿宋_GB2312" w:eastAsia="仿宋_GB2312"/>
              </w:rPr>
              <w:t>供应商质量保修承诺完整，根据响应情况每项计0-1分，满分4分。 1、有售后保障工作服务方案及工作计划； 2、保修团队人员配备齐全、职责明确，满足项目保修要求； 3、有巡查或复查计划及售后质量保障措施； 4、对工程维修服务响应时限有明确的承诺。</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